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Friday, July 16, 1976 </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4:45PM</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Ottawa Airport, Ottawa Region</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F0 ‘A’</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TPSS&lt;1mile, possibly 3km (1.86mi)</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Approx. 225° (SW-NE)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Cone shaped funnel</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Little or no damage reported</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“Funnel seen by ATC at Ottawa Airport. It crossed the river and picked up water, closer than 1.5 miles from control tower stirred trees near the end of runway 07.” Little to no sound. </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Photocopy of one of an unknown number of photos taken of tornado attached to EC notes file.</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