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25, 1923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4:50PM (SS =3:50PM)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Maryhill to Port Credit</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‘C’ (from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66.37km (41.24mi)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Width “40m in Port Credit”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270°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“Number injured is a minimum. Barns demolished, orchards uprooted, wall on brick house blown in.” “The dead; Isabelle Brohman, 15 yrs old, New Germany, struck and killed by falling barn timbers. An unnamed road workman seriously injured near Erindale and not expected to live. GTR freight car wrecked on siding in Port Credit. Barns demolished, orchards uprooted. Wall in brick home blown in. Over $3,000 [$42,000 (2017)] damage done to Port Credit brick yard.”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Possible destructive tornado tracked over 60km from Waterloo Region to West End Toronto. Coordinates have tornado tracking through Guelph but damage was said to have been done there by the Lebanon-Longbranch tornado. Possible mix-up or needs investigating?</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in newspaper</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