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June 11, 1911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4:00PM Local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Metz, Wellington County to Mono Centre, Dufferin County (to Adjala, Simcoe County)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~50km (~30mi)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~230°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“The wind was terrific and seemed to have had the circular motion characteristic of the cyclonic storm.”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“Damage to windmills, barns, and stock. Service was in progress in Trinity Church, Adjala, when the storm struck it blowing down the spire and lifting off part of the roof. A panic arose among the congregation, some of whom made their exit through the windows.” Fences blown down, telephone and hydro poles downed. Barn in Adjala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destroyed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 the foundation.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(F1 or F2?)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Metz: “The wind storm of two weeks ago did considerable damage to…barns...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taking down part of the stone foundation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damaging and destructive tornado described as to have probably been rainwrapped. See newspapers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