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April 18, 1855</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Meaford to Collingwood, Grey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~NW-SE “The course of the storm seems to have followed the south shore of Georgian Bay, from Meaford to Collingwood Harbour, sweeping round the base of the Blue Mountains, and levelling in its passage very considerable tracts of land.”</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~$6,000 (~$162,000 in 2017) Several houses blown down with at least 20 others unroofed, and one house had its side blown out.</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First of 4 significant tornadoes to touch down across southern Ontario in the early morning hours of April 18</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Most of the structural damage occurred in the town of Collingwood as townsfolk were still asleep as the storm struck. In one case, a couple sleeping had their bed thrown out of the second floor of their house as the tornado ripped the side off it.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